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CEF4" w14:textId="6923C3E2" w:rsidR="007E37C6" w:rsidRPr="007E37C6" w:rsidRDefault="007E37C6" w:rsidP="007E37C6">
      <w:r w:rsidRPr="007E37C6">
        <w:t>Progress to date:</w:t>
      </w:r>
    </w:p>
    <w:p w14:paraId="5F553D44" w14:textId="77777777" w:rsidR="006E48BE" w:rsidRDefault="006E48BE" w:rsidP="006E48BE">
      <w:pPr>
        <w:jc w:val="center"/>
        <w:rPr>
          <w:u w:val="single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447"/>
        <w:gridCol w:w="2541"/>
        <w:gridCol w:w="4305"/>
      </w:tblGrid>
      <w:tr w:rsidR="007E37C6" w14:paraId="2AD04291" w14:textId="77777777" w:rsidTr="003D50A5">
        <w:tc>
          <w:tcPr>
            <w:tcW w:w="1447" w:type="dxa"/>
            <w:tcBorders>
              <w:bottom w:val="single" w:sz="4" w:space="0" w:color="auto"/>
            </w:tcBorders>
            <w:shd w:val="solid" w:color="C7E7CA" w:fill="auto"/>
          </w:tcPr>
          <w:p w14:paraId="2B0C8A6A" w14:textId="77777777" w:rsidR="007E37C6" w:rsidRDefault="007E37C6" w:rsidP="00D832D0">
            <w:pPr>
              <w:jc w:val="center"/>
              <w:rPr>
                <w:b/>
                <w:bCs/>
              </w:rPr>
            </w:pPr>
            <w:r w:rsidRPr="006E48BE">
              <w:rPr>
                <w:b/>
                <w:bCs/>
              </w:rPr>
              <w:t>Stage 1</w:t>
            </w:r>
          </w:p>
          <w:p w14:paraId="1B26D5CF" w14:textId="77777777" w:rsidR="007E37C6" w:rsidRDefault="007E37C6" w:rsidP="00D832D0">
            <w:pPr>
              <w:jc w:val="center"/>
            </w:pPr>
            <w:r>
              <w:t>Nov 2025 – Feb 2026</w:t>
            </w:r>
          </w:p>
          <w:p w14:paraId="3BE51CBF" w14:textId="77777777" w:rsidR="007E37C6" w:rsidRDefault="007E37C6" w:rsidP="00D832D0">
            <w:pPr>
              <w:jc w:val="center"/>
            </w:pPr>
          </w:p>
          <w:p w14:paraId="5F8CAE37" w14:textId="77777777" w:rsidR="007E37C6" w:rsidRPr="006E48BE" w:rsidRDefault="007E37C6" w:rsidP="00D832D0">
            <w:pPr>
              <w:jc w:val="center"/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solid" w:color="C7E7CA" w:fill="auto"/>
          </w:tcPr>
          <w:p w14:paraId="33046439" w14:textId="77777777" w:rsidR="007E37C6" w:rsidRPr="006E48BE" w:rsidRDefault="007E37C6" w:rsidP="00D832D0">
            <w:pPr>
              <w:rPr>
                <w:b/>
                <w:bCs/>
              </w:rPr>
            </w:pPr>
            <w:r>
              <w:rPr>
                <w:b/>
                <w:bCs/>
              </w:rPr>
              <w:t>Establishment:</w:t>
            </w:r>
          </w:p>
          <w:p w14:paraId="4A85BC4B" w14:textId="77777777" w:rsidR="007E37C6" w:rsidRPr="006E48BE" w:rsidRDefault="007E37C6" w:rsidP="00D832D0">
            <w:r>
              <w:t>Designating area and formally submitting application, setting up a steering group and establishing local interest.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shd w:val="solid" w:color="C7E7CA" w:fill="auto"/>
          </w:tcPr>
          <w:p w14:paraId="07955E12" w14:textId="77777777" w:rsidR="007E37C6" w:rsidRPr="006E48BE" w:rsidRDefault="007E37C6" w:rsidP="00D832D0">
            <w:pPr>
              <w:rPr>
                <w:b/>
                <w:bCs/>
              </w:rPr>
            </w:pPr>
            <w:r w:rsidRPr="006E48BE">
              <w:rPr>
                <w:b/>
                <w:bCs/>
              </w:rPr>
              <w:t xml:space="preserve">November 2025: </w:t>
            </w:r>
          </w:p>
          <w:p w14:paraId="08467D55" w14:textId="77777777" w:rsidR="007E37C6" w:rsidRDefault="007E37C6" w:rsidP="00D832D0">
            <w:r>
              <w:t>-Steering group created.</w:t>
            </w:r>
          </w:p>
          <w:p w14:paraId="1342E07A" w14:textId="77777777" w:rsidR="007E37C6" w:rsidRDefault="007E37C6" w:rsidP="00D832D0">
            <w:r>
              <w:t>-Neighbourhood Area for NDP designated.</w:t>
            </w:r>
          </w:p>
          <w:p w14:paraId="07AA5D73" w14:textId="77777777" w:rsidR="007E37C6" w:rsidRDefault="007E37C6" w:rsidP="00D832D0">
            <w:r>
              <w:t>-Public information and interest meeting held.</w:t>
            </w:r>
          </w:p>
          <w:p w14:paraId="2DCFAFF0" w14:textId="77777777" w:rsidR="007E37C6" w:rsidRDefault="007E37C6" w:rsidP="00D832D0">
            <w:r>
              <w:t>-Social media used to raise awareness.</w:t>
            </w:r>
          </w:p>
          <w:p w14:paraId="139D55A5" w14:textId="77777777" w:rsidR="007E37C6" w:rsidRDefault="007E37C6" w:rsidP="00D832D0">
            <w:pPr>
              <w:rPr>
                <w:b/>
                <w:bCs/>
              </w:rPr>
            </w:pPr>
            <w:r>
              <w:rPr>
                <w:b/>
                <w:bCs/>
              </w:rPr>
              <w:t>December 2025:</w:t>
            </w:r>
          </w:p>
          <w:p w14:paraId="15EB4B0C" w14:textId="77777777" w:rsidR="007E37C6" w:rsidRDefault="007E37C6" w:rsidP="00D832D0">
            <w:r>
              <w:t>-Website established.</w:t>
            </w:r>
          </w:p>
          <w:p w14:paraId="7EAAD65C" w14:textId="77777777" w:rsidR="007E37C6" w:rsidRDefault="007E37C6" w:rsidP="00D832D0">
            <w:pPr>
              <w:rPr>
                <w:b/>
                <w:bCs/>
              </w:rPr>
            </w:pPr>
            <w:r>
              <w:rPr>
                <w:b/>
                <w:bCs/>
              </w:rPr>
              <w:t>February 2026:</w:t>
            </w:r>
          </w:p>
          <w:p w14:paraId="7AEE80CD" w14:textId="77777777" w:rsidR="007E37C6" w:rsidRPr="006E48BE" w:rsidRDefault="007E37C6" w:rsidP="00D832D0">
            <w:r>
              <w:t>-Steering group meeting with Laila Bassett (West Berks Planning officer).</w:t>
            </w:r>
          </w:p>
        </w:tc>
      </w:tr>
      <w:tr w:rsidR="007E37C6" w14:paraId="15E99A84" w14:textId="77777777" w:rsidTr="003D50A5">
        <w:tc>
          <w:tcPr>
            <w:tcW w:w="1447" w:type="dxa"/>
            <w:tcBorders>
              <w:bottom w:val="single" w:sz="4" w:space="0" w:color="auto"/>
            </w:tcBorders>
            <w:shd w:val="solid" w:color="94DDA1" w:fill="auto"/>
          </w:tcPr>
          <w:p w14:paraId="12968587" w14:textId="77777777" w:rsidR="007E37C6" w:rsidRDefault="007E37C6" w:rsidP="00D832D0">
            <w:pPr>
              <w:jc w:val="center"/>
              <w:rPr>
                <w:b/>
                <w:bCs/>
              </w:rPr>
            </w:pPr>
            <w:r w:rsidRPr="006E48BE">
              <w:rPr>
                <w:b/>
                <w:bCs/>
              </w:rPr>
              <w:t xml:space="preserve">Stage </w:t>
            </w:r>
            <w:r>
              <w:rPr>
                <w:b/>
                <w:bCs/>
              </w:rPr>
              <w:t>2</w:t>
            </w:r>
          </w:p>
          <w:p w14:paraId="338D3F25" w14:textId="77777777" w:rsidR="007E37C6" w:rsidRDefault="007E37C6" w:rsidP="00D832D0">
            <w:pPr>
              <w:jc w:val="center"/>
            </w:pPr>
            <w:r>
              <w:t>March 2026– April 2026</w:t>
            </w:r>
          </w:p>
          <w:p w14:paraId="4CBC43A2" w14:textId="77777777" w:rsidR="007E37C6" w:rsidRPr="006E48BE" w:rsidRDefault="007E37C6" w:rsidP="00D832D0">
            <w:pPr>
              <w:jc w:val="center"/>
            </w:pPr>
          </w:p>
        </w:tc>
        <w:tc>
          <w:tcPr>
            <w:tcW w:w="2541" w:type="dxa"/>
            <w:tcBorders>
              <w:bottom w:val="single" w:sz="4" w:space="0" w:color="auto"/>
            </w:tcBorders>
            <w:shd w:val="solid" w:color="94DDA1" w:fill="auto"/>
          </w:tcPr>
          <w:p w14:paraId="6D7B8BD8" w14:textId="77777777" w:rsidR="007E37C6" w:rsidRPr="006E48BE" w:rsidRDefault="007E37C6" w:rsidP="00D832D0">
            <w:pPr>
              <w:rPr>
                <w:b/>
                <w:bCs/>
              </w:rPr>
            </w:pPr>
            <w:r>
              <w:rPr>
                <w:b/>
                <w:bCs/>
              </w:rPr>
              <w:t>Engagement:</w:t>
            </w:r>
          </w:p>
          <w:p w14:paraId="37B0D02F" w14:textId="77777777" w:rsidR="007E37C6" w:rsidRPr="006E48BE" w:rsidRDefault="007E37C6" w:rsidP="00D832D0">
            <w:r>
              <w:t xml:space="preserve">Raising awareness, </w:t>
            </w:r>
            <w:proofErr w:type="gramStart"/>
            <w:r>
              <w:t>gathering</w:t>
            </w:r>
            <w:proofErr w:type="gramEnd"/>
            <w:r>
              <w:t xml:space="preserve"> and analysing local priorities to inform direction of plan. </w:t>
            </w:r>
          </w:p>
        </w:tc>
        <w:tc>
          <w:tcPr>
            <w:tcW w:w="4305" w:type="dxa"/>
            <w:tcBorders>
              <w:bottom w:val="single" w:sz="4" w:space="0" w:color="auto"/>
            </w:tcBorders>
            <w:shd w:val="solid" w:color="94DDA1" w:fill="auto"/>
          </w:tcPr>
          <w:p w14:paraId="152F7883" w14:textId="77777777" w:rsidR="007E37C6" w:rsidRDefault="007E37C6" w:rsidP="00D832D0">
            <w:pPr>
              <w:rPr>
                <w:b/>
                <w:bCs/>
              </w:rPr>
            </w:pPr>
            <w:r>
              <w:rPr>
                <w:b/>
                <w:bCs/>
              </w:rPr>
              <w:t>March 2026:</w:t>
            </w:r>
          </w:p>
          <w:p w14:paraId="592F0079" w14:textId="77777777" w:rsidR="007E37C6" w:rsidRDefault="007E37C6" w:rsidP="00D832D0">
            <w:r>
              <w:t>-Questionnaire developed and delivered to all houses in the Parish.</w:t>
            </w:r>
          </w:p>
          <w:p w14:paraId="7B31F559" w14:textId="77777777" w:rsidR="007E37C6" w:rsidRDefault="007E37C6" w:rsidP="00D832D0">
            <w:r>
              <w:t>-Door to door discussions to raise awareness.</w:t>
            </w:r>
          </w:p>
          <w:p w14:paraId="469E5DE7" w14:textId="77777777" w:rsidR="007E37C6" w:rsidRDefault="007E37C6" w:rsidP="00D832D0">
            <w:r>
              <w:t>-Social media, village notice boards and village magazine used to gain awareness and update parishioners on progress.</w:t>
            </w:r>
          </w:p>
          <w:p w14:paraId="44854973" w14:textId="77777777" w:rsidR="007E37C6" w:rsidRDefault="007E37C6" w:rsidP="00D832D0">
            <w:pPr>
              <w:rPr>
                <w:b/>
                <w:bCs/>
              </w:rPr>
            </w:pPr>
            <w:r>
              <w:rPr>
                <w:b/>
                <w:bCs/>
              </w:rPr>
              <w:t>April 2026:</w:t>
            </w:r>
          </w:p>
          <w:p w14:paraId="485F9525" w14:textId="77777777" w:rsidR="007E37C6" w:rsidRPr="00E5750D" w:rsidRDefault="007E37C6" w:rsidP="00D832D0">
            <w:r>
              <w:t>-Analysis of questionnaires by steering group</w:t>
            </w:r>
          </w:p>
        </w:tc>
      </w:tr>
    </w:tbl>
    <w:p w14:paraId="2A14801C" w14:textId="77777777" w:rsidR="006E48BE" w:rsidRDefault="006E48BE" w:rsidP="007E37C6">
      <w:pPr>
        <w:rPr>
          <w:u w:val="single"/>
        </w:rPr>
      </w:pPr>
    </w:p>
    <w:p w14:paraId="4EEA35BB" w14:textId="4067E2F6" w:rsidR="007E37C6" w:rsidRDefault="007E37C6" w:rsidP="007E37C6">
      <w:r w:rsidRPr="007E37C6">
        <w:t>Next steps:</w:t>
      </w:r>
    </w:p>
    <w:p w14:paraId="72151803" w14:textId="77777777" w:rsidR="007E37C6" w:rsidRDefault="007E37C6" w:rsidP="007E37C6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506"/>
        <w:gridCol w:w="2552"/>
        <w:gridCol w:w="4235"/>
      </w:tblGrid>
      <w:tr w:rsidR="007E37C6" w:rsidRPr="00981CF1" w14:paraId="640CE5FF" w14:textId="77777777" w:rsidTr="003D50A5">
        <w:tc>
          <w:tcPr>
            <w:tcW w:w="1506" w:type="dxa"/>
            <w:tcBorders>
              <w:bottom w:val="single" w:sz="4" w:space="0" w:color="auto"/>
            </w:tcBorders>
            <w:shd w:val="solid" w:color="90BD91" w:fill="auto"/>
          </w:tcPr>
          <w:p w14:paraId="2C622501" w14:textId="77777777" w:rsidR="007E37C6" w:rsidRPr="0006426A" w:rsidRDefault="007E37C6" w:rsidP="00D832D0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06426A">
              <w:rPr>
                <w:b/>
                <w:bCs/>
                <w:i/>
                <w:iCs/>
                <w:color w:val="FFFFFF" w:themeColor="background1"/>
              </w:rPr>
              <w:t>Stage 3</w:t>
            </w:r>
          </w:p>
          <w:p w14:paraId="4C327087" w14:textId="77777777" w:rsidR="007E37C6" w:rsidRPr="0006426A" w:rsidRDefault="007E37C6" w:rsidP="00D832D0">
            <w:pPr>
              <w:jc w:val="center"/>
              <w:rPr>
                <w:i/>
                <w:iCs/>
                <w:color w:val="FFFFFF" w:themeColor="background1"/>
              </w:rPr>
            </w:pPr>
            <w:r w:rsidRPr="0006426A">
              <w:rPr>
                <w:i/>
                <w:iCs/>
                <w:color w:val="FFFFFF" w:themeColor="background1"/>
              </w:rPr>
              <w:t>Estimated: May 2026-Feb 2027</w:t>
            </w:r>
          </w:p>
          <w:p w14:paraId="4613CABA" w14:textId="77777777" w:rsidR="007E37C6" w:rsidRPr="006E48BE" w:rsidRDefault="007E37C6" w:rsidP="00D832D0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solid" w:color="90BD91" w:fill="auto"/>
          </w:tcPr>
          <w:p w14:paraId="005519B1" w14:textId="77777777" w:rsidR="007E37C6" w:rsidRPr="0006426A" w:rsidRDefault="007E37C6" w:rsidP="00D832D0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06426A">
              <w:rPr>
                <w:b/>
                <w:bCs/>
                <w:i/>
                <w:iCs/>
                <w:color w:val="FFFFFF" w:themeColor="background1"/>
              </w:rPr>
              <w:t>Documentation:</w:t>
            </w:r>
          </w:p>
          <w:p w14:paraId="5BC73FCA" w14:textId="77777777" w:rsidR="007E37C6" w:rsidRPr="006E48BE" w:rsidRDefault="007E37C6" w:rsidP="00D832D0">
            <w:r w:rsidRPr="0006426A">
              <w:rPr>
                <w:i/>
                <w:iCs/>
                <w:color w:val="FFFFFF" w:themeColor="background1"/>
              </w:rPr>
              <w:t>Gathering and analysing evidence, producing draft policies and plan.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shd w:val="solid" w:color="90BD91" w:fill="auto"/>
          </w:tcPr>
          <w:p w14:paraId="2E53E8E1" w14:textId="77777777" w:rsidR="007E37C6" w:rsidRPr="0006426A" w:rsidRDefault="007E37C6" w:rsidP="00D832D0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06426A">
              <w:rPr>
                <w:b/>
                <w:bCs/>
                <w:i/>
                <w:iCs/>
                <w:color w:val="FFFFFF" w:themeColor="background1"/>
              </w:rPr>
              <w:t>Exp. June 2026 onwards:</w:t>
            </w:r>
          </w:p>
          <w:p w14:paraId="6419D1A2" w14:textId="77777777" w:rsidR="007E37C6" w:rsidRPr="0006426A" w:rsidRDefault="007E37C6" w:rsidP="00D832D0">
            <w:pPr>
              <w:rPr>
                <w:i/>
                <w:iCs/>
                <w:color w:val="FFFFFF" w:themeColor="background1"/>
              </w:rPr>
            </w:pPr>
            <w:r w:rsidRPr="0006426A">
              <w:rPr>
                <w:i/>
                <w:iCs/>
                <w:color w:val="FFFFFF" w:themeColor="background1"/>
              </w:rPr>
              <w:t>-Researching and gathering Midgham specific data.</w:t>
            </w:r>
          </w:p>
          <w:p w14:paraId="4D8C2225" w14:textId="77777777" w:rsidR="007E37C6" w:rsidRPr="0006426A" w:rsidRDefault="007E37C6" w:rsidP="00D832D0">
            <w:pPr>
              <w:rPr>
                <w:i/>
                <w:iCs/>
                <w:color w:val="FFFFFF" w:themeColor="background1"/>
              </w:rPr>
            </w:pPr>
            <w:r w:rsidRPr="0006426A">
              <w:rPr>
                <w:i/>
                <w:iCs/>
                <w:color w:val="FFFFFF" w:themeColor="background1"/>
              </w:rPr>
              <w:t>-Initial drafting of policies.</w:t>
            </w:r>
          </w:p>
          <w:p w14:paraId="1406CDAB" w14:textId="77777777" w:rsidR="007E37C6" w:rsidRPr="00981CF1" w:rsidRDefault="007E37C6" w:rsidP="00D832D0">
            <w:r w:rsidRPr="0006426A">
              <w:rPr>
                <w:i/>
                <w:iCs/>
                <w:color w:val="FFFFFF" w:themeColor="background1"/>
              </w:rPr>
              <w:t>-Gaining feedback from local community for these.</w:t>
            </w:r>
          </w:p>
        </w:tc>
      </w:tr>
      <w:tr w:rsidR="007E37C6" w:rsidRPr="0006426A" w14:paraId="206579CA" w14:textId="77777777" w:rsidTr="003D50A5">
        <w:tc>
          <w:tcPr>
            <w:tcW w:w="1506" w:type="dxa"/>
            <w:shd w:val="solid" w:color="739579" w:fill="auto"/>
          </w:tcPr>
          <w:p w14:paraId="5DE04F69" w14:textId="77777777" w:rsidR="007E37C6" w:rsidRPr="0006426A" w:rsidRDefault="007E37C6" w:rsidP="00D832D0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06426A">
              <w:rPr>
                <w:b/>
                <w:bCs/>
                <w:i/>
                <w:iCs/>
                <w:color w:val="FFFFFF" w:themeColor="background1"/>
              </w:rPr>
              <w:t>Stage 4</w:t>
            </w:r>
          </w:p>
          <w:p w14:paraId="01535EF1" w14:textId="77777777" w:rsidR="007E37C6" w:rsidRPr="0006426A" w:rsidRDefault="007E37C6" w:rsidP="00D832D0">
            <w:pPr>
              <w:jc w:val="center"/>
              <w:rPr>
                <w:i/>
                <w:iCs/>
                <w:color w:val="FFFFFF" w:themeColor="background1"/>
              </w:rPr>
            </w:pPr>
            <w:r w:rsidRPr="0006426A">
              <w:rPr>
                <w:i/>
                <w:iCs/>
                <w:color w:val="FFFFFF" w:themeColor="background1"/>
              </w:rPr>
              <w:t>Estimated: Feb 2027</w:t>
            </w:r>
            <w:r>
              <w:rPr>
                <w:i/>
                <w:iCs/>
                <w:color w:val="FFFFFF" w:themeColor="background1"/>
              </w:rPr>
              <w:t xml:space="preserve"> onwards</w:t>
            </w:r>
          </w:p>
          <w:p w14:paraId="766DF753" w14:textId="77777777" w:rsidR="007E37C6" w:rsidRPr="0006426A" w:rsidRDefault="007E37C6" w:rsidP="00D832D0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2" w:type="dxa"/>
            <w:shd w:val="solid" w:color="739579" w:fill="auto"/>
          </w:tcPr>
          <w:p w14:paraId="73B618B2" w14:textId="77777777" w:rsidR="007E37C6" w:rsidRPr="0006426A" w:rsidRDefault="007E37C6" w:rsidP="00D832D0">
            <w:pPr>
              <w:rPr>
                <w:b/>
                <w:bCs/>
                <w:i/>
                <w:iCs/>
                <w:color w:val="FFFFFF" w:themeColor="background1"/>
              </w:rPr>
            </w:pPr>
            <w:r w:rsidRPr="0006426A">
              <w:rPr>
                <w:b/>
                <w:bCs/>
                <w:i/>
                <w:iCs/>
                <w:color w:val="FFFFFF" w:themeColor="background1"/>
              </w:rPr>
              <w:t>Finalising Policies and Plan:</w:t>
            </w:r>
          </w:p>
          <w:p w14:paraId="2BDE5F79" w14:textId="77777777" w:rsidR="007E37C6" w:rsidRPr="0006426A" w:rsidRDefault="007E37C6" w:rsidP="00D832D0">
            <w:pPr>
              <w:rPr>
                <w:color w:val="FFFFFF" w:themeColor="background1"/>
              </w:rPr>
            </w:pPr>
            <w:r w:rsidRPr="0006426A">
              <w:rPr>
                <w:i/>
                <w:iCs/>
                <w:color w:val="FFFFFF" w:themeColor="background1"/>
              </w:rPr>
              <w:t>Submission, final consultation, and referendum.</w:t>
            </w:r>
            <w:r w:rsidRPr="0006426A">
              <w:rPr>
                <w:color w:val="FFFFFF" w:themeColor="background1"/>
              </w:rPr>
              <w:t xml:space="preserve"> </w:t>
            </w:r>
          </w:p>
        </w:tc>
        <w:tc>
          <w:tcPr>
            <w:tcW w:w="4235" w:type="dxa"/>
            <w:shd w:val="solid" w:color="739579" w:fill="auto"/>
          </w:tcPr>
          <w:p w14:paraId="0D0173B6" w14:textId="77777777" w:rsidR="007E37C6" w:rsidRPr="0006426A" w:rsidRDefault="007E37C6" w:rsidP="00D832D0">
            <w:pPr>
              <w:rPr>
                <w:b/>
                <w:bCs/>
                <w:i/>
                <w:iCs/>
                <w:color w:val="FFFFFF" w:themeColor="background1"/>
                <w:lang w:val="fr-FR"/>
              </w:rPr>
            </w:pPr>
            <w:proofErr w:type="spellStart"/>
            <w:r w:rsidRPr="0006426A">
              <w:rPr>
                <w:b/>
                <w:bCs/>
                <w:i/>
                <w:iCs/>
                <w:color w:val="FFFFFF" w:themeColor="background1"/>
                <w:lang w:val="fr-FR"/>
              </w:rPr>
              <w:t>Exp</w:t>
            </w:r>
            <w:proofErr w:type="spellEnd"/>
            <w:r w:rsidRPr="0006426A">
              <w:rPr>
                <w:b/>
                <w:bCs/>
                <w:i/>
                <w:iCs/>
                <w:color w:val="FFFFFF" w:themeColor="background1"/>
                <w:lang w:val="fr-FR"/>
              </w:rPr>
              <w:t xml:space="preserve">. </w:t>
            </w:r>
            <w:proofErr w:type="spellStart"/>
            <w:r w:rsidRPr="0006426A">
              <w:rPr>
                <w:b/>
                <w:bCs/>
                <w:i/>
                <w:iCs/>
                <w:color w:val="FFFFFF" w:themeColor="background1"/>
                <w:lang w:val="fr-FR"/>
              </w:rPr>
              <w:t>Feb</w:t>
            </w:r>
            <w:proofErr w:type="spellEnd"/>
            <w:r w:rsidRPr="0006426A">
              <w:rPr>
                <w:b/>
                <w:bCs/>
                <w:i/>
                <w:iCs/>
                <w:color w:val="FFFFFF" w:themeColor="background1"/>
                <w:lang w:val="fr-FR"/>
              </w:rPr>
              <w:t xml:space="preserve"> 2027 </w:t>
            </w:r>
            <w:proofErr w:type="spellStart"/>
            <w:r w:rsidRPr="0006426A">
              <w:rPr>
                <w:b/>
                <w:bCs/>
                <w:i/>
                <w:iCs/>
                <w:color w:val="FFFFFF" w:themeColor="background1"/>
                <w:lang w:val="fr-FR"/>
              </w:rPr>
              <w:t>onwards</w:t>
            </w:r>
            <w:proofErr w:type="spellEnd"/>
            <w:r w:rsidRPr="0006426A">
              <w:rPr>
                <w:b/>
                <w:bCs/>
                <w:i/>
                <w:iCs/>
                <w:color w:val="FFFFFF" w:themeColor="background1"/>
                <w:lang w:val="fr-FR"/>
              </w:rPr>
              <w:t> :</w:t>
            </w:r>
          </w:p>
          <w:p w14:paraId="0BC0BCED" w14:textId="77777777" w:rsidR="007E37C6" w:rsidRPr="0006426A" w:rsidRDefault="007E37C6" w:rsidP="00D832D0">
            <w:pPr>
              <w:rPr>
                <w:i/>
                <w:iCs/>
                <w:color w:val="FFFFFF" w:themeColor="background1"/>
                <w:lang w:val="fr-FR"/>
              </w:rPr>
            </w:pPr>
            <w:r w:rsidRPr="0006426A">
              <w:rPr>
                <w:i/>
                <w:iCs/>
                <w:color w:val="FFFFFF" w:themeColor="background1"/>
                <w:lang w:val="fr-FR"/>
              </w:rPr>
              <w:t>-Consultation.</w:t>
            </w:r>
          </w:p>
          <w:p w14:paraId="7C1C7F39" w14:textId="77777777" w:rsidR="007E37C6" w:rsidRPr="0006426A" w:rsidRDefault="007E37C6" w:rsidP="00D832D0">
            <w:pPr>
              <w:rPr>
                <w:i/>
                <w:iCs/>
                <w:color w:val="FFFFFF" w:themeColor="background1"/>
                <w:lang w:val="fr-FR"/>
              </w:rPr>
            </w:pPr>
            <w:r w:rsidRPr="0006426A">
              <w:rPr>
                <w:i/>
                <w:iCs/>
                <w:color w:val="FFFFFF" w:themeColor="background1"/>
                <w:lang w:val="fr-FR"/>
              </w:rPr>
              <w:t>-</w:t>
            </w:r>
            <w:proofErr w:type="spellStart"/>
            <w:r w:rsidRPr="0006426A">
              <w:rPr>
                <w:i/>
                <w:iCs/>
                <w:color w:val="FFFFFF" w:themeColor="background1"/>
                <w:lang w:val="fr-FR"/>
              </w:rPr>
              <w:t>Submission</w:t>
            </w:r>
            <w:proofErr w:type="spellEnd"/>
            <w:r>
              <w:rPr>
                <w:i/>
                <w:iCs/>
                <w:color w:val="FFFFFF" w:themeColor="background1"/>
                <w:lang w:val="fr-FR"/>
              </w:rPr>
              <w:t>.</w:t>
            </w:r>
          </w:p>
          <w:p w14:paraId="6C49B793" w14:textId="77777777" w:rsidR="007E37C6" w:rsidRPr="0006426A" w:rsidRDefault="007E37C6" w:rsidP="00D832D0">
            <w:pPr>
              <w:rPr>
                <w:i/>
                <w:iCs/>
                <w:color w:val="FFFFFF" w:themeColor="background1"/>
                <w:lang w:val="fr-FR"/>
              </w:rPr>
            </w:pPr>
            <w:r w:rsidRPr="0006426A">
              <w:rPr>
                <w:i/>
                <w:iCs/>
                <w:color w:val="FFFFFF" w:themeColor="background1"/>
                <w:lang w:val="fr-FR"/>
              </w:rPr>
              <w:t xml:space="preserve">-Independent </w:t>
            </w:r>
            <w:proofErr w:type="spellStart"/>
            <w:r w:rsidRPr="0006426A">
              <w:rPr>
                <w:i/>
                <w:iCs/>
                <w:color w:val="FFFFFF" w:themeColor="background1"/>
                <w:lang w:val="fr-FR"/>
              </w:rPr>
              <w:t>examination</w:t>
            </w:r>
            <w:proofErr w:type="spellEnd"/>
            <w:r>
              <w:rPr>
                <w:i/>
                <w:iCs/>
                <w:color w:val="FFFFFF" w:themeColor="background1"/>
                <w:lang w:val="fr-FR"/>
              </w:rPr>
              <w:t>.</w:t>
            </w:r>
          </w:p>
          <w:p w14:paraId="631464A2" w14:textId="77777777" w:rsidR="007E37C6" w:rsidRPr="0006426A" w:rsidRDefault="007E37C6" w:rsidP="00D832D0">
            <w:pPr>
              <w:rPr>
                <w:color w:val="FFFFFF" w:themeColor="background1"/>
                <w:lang w:val="fr-FR"/>
              </w:rPr>
            </w:pPr>
            <w:r w:rsidRPr="0006426A">
              <w:rPr>
                <w:i/>
                <w:iCs/>
                <w:color w:val="FFFFFF" w:themeColor="background1"/>
                <w:lang w:val="fr-FR"/>
              </w:rPr>
              <w:t>-Referendum</w:t>
            </w:r>
            <w:r>
              <w:rPr>
                <w:i/>
                <w:iCs/>
                <w:color w:val="FFFFFF" w:themeColor="background1"/>
                <w:lang w:val="fr-FR"/>
              </w:rPr>
              <w:t>.</w:t>
            </w:r>
          </w:p>
        </w:tc>
      </w:tr>
    </w:tbl>
    <w:p w14:paraId="22D04E8C" w14:textId="77777777" w:rsidR="007E37C6" w:rsidRPr="007E37C6" w:rsidRDefault="007E37C6" w:rsidP="007E37C6"/>
    <w:p w14:paraId="498BCD42" w14:textId="21AA9C91" w:rsidR="00BB5995" w:rsidRDefault="00BB5995" w:rsidP="00BB5995">
      <w:pPr>
        <w:rPr>
          <w:i/>
          <w:iCs/>
          <w:u w:val="single"/>
        </w:rPr>
      </w:pPr>
      <w:r w:rsidRPr="00BB5995">
        <w:rPr>
          <w:i/>
          <w:iCs/>
          <w:u w:val="single"/>
        </w:rPr>
        <w:t xml:space="preserve">Actions in </w:t>
      </w:r>
      <w:r w:rsidR="0006426A">
        <w:rPr>
          <w:i/>
          <w:iCs/>
          <w:u w:val="single"/>
        </w:rPr>
        <w:t xml:space="preserve">white </w:t>
      </w:r>
      <w:r w:rsidRPr="00BB5995">
        <w:rPr>
          <w:i/>
          <w:iCs/>
          <w:u w:val="single"/>
        </w:rPr>
        <w:t xml:space="preserve">italics are </w:t>
      </w:r>
      <w:r>
        <w:rPr>
          <w:i/>
          <w:iCs/>
          <w:u w:val="single"/>
        </w:rPr>
        <w:t xml:space="preserve">included to give an indication of next steps and time frames. </w:t>
      </w:r>
      <w:r w:rsidR="003D50A5">
        <w:rPr>
          <w:i/>
          <w:iCs/>
          <w:u w:val="single"/>
        </w:rPr>
        <w:t xml:space="preserve">They are subject to change. </w:t>
      </w:r>
    </w:p>
    <w:p w14:paraId="591BA6C9" w14:textId="77777777" w:rsidR="00416D5D" w:rsidRDefault="00416D5D" w:rsidP="00BB5995">
      <w:pPr>
        <w:rPr>
          <w:i/>
          <w:iCs/>
          <w:u w:val="single"/>
        </w:rPr>
      </w:pPr>
    </w:p>
    <w:p w14:paraId="0CFDD702" w14:textId="77777777" w:rsidR="00416D5D" w:rsidRDefault="00416D5D" w:rsidP="00BB5995">
      <w:pPr>
        <w:rPr>
          <w:i/>
          <w:iCs/>
          <w:u w:val="single"/>
        </w:rPr>
      </w:pPr>
    </w:p>
    <w:p w14:paraId="313CB0CC" w14:textId="77777777" w:rsidR="00416D5D" w:rsidRPr="00BB5995" w:rsidRDefault="00416D5D" w:rsidP="00BB5995">
      <w:pPr>
        <w:rPr>
          <w:i/>
          <w:iCs/>
          <w:u w:val="single"/>
        </w:rPr>
      </w:pPr>
    </w:p>
    <w:sectPr w:rsidR="00416D5D" w:rsidRPr="00BB5995" w:rsidSect="00346A5B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1277" w14:textId="77777777" w:rsidR="003548E1" w:rsidRDefault="003548E1" w:rsidP="007E37C6">
      <w:r>
        <w:separator/>
      </w:r>
    </w:p>
  </w:endnote>
  <w:endnote w:type="continuationSeparator" w:id="0">
    <w:p w14:paraId="0E83385E" w14:textId="77777777" w:rsidR="003548E1" w:rsidRDefault="003548E1" w:rsidP="007E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E27F" w14:textId="77777777" w:rsidR="003548E1" w:rsidRDefault="003548E1" w:rsidP="007E37C6">
      <w:r>
        <w:separator/>
      </w:r>
    </w:p>
  </w:footnote>
  <w:footnote w:type="continuationSeparator" w:id="0">
    <w:p w14:paraId="3B9664D0" w14:textId="77777777" w:rsidR="003548E1" w:rsidRDefault="003548E1" w:rsidP="007E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A919E" w14:textId="77777777" w:rsidR="007E37C6" w:rsidRPr="007E37C6" w:rsidRDefault="007E37C6" w:rsidP="007E37C6">
    <w:pPr>
      <w:jc w:val="center"/>
      <w:rPr>
        <w:sz w:val="36"/>
        <w:szCs w:val="36"/>
        <w:u w:val="single"/>
      </w:rPr>
    </w:pPr>
    <w:r w:rsidRPr="007E37C6">
      <w:rPr>
        <w:sz w:val="36"/>
        <w:szCs w:val="36"/>
        <w:u w:val="single"/>
      </w:rPr>
      <w:t xml:space="preserve">Midgham NDP Update May 2026 </w:t>
    </w:r>
  </w:p>
  <w:p w14:paraId="76600654" w14:textId="77777777" w:rsidR="007E37C6" w:rsidRDefault="007E3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F13AA"/>
    <w:multiLevelType w:val="hybridMultilevel"/>
    <w:tmpl w:val="4CDE6952"/>
    <w:lvl w:ilvl="0" w:tplc="74CC4C7A">
      <w:start w:val="1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BE"/>
    <w:rsid w:val="000071FF"/>
    <w:rsid w:val="0006426A"/>
    <w:rsid w:val="0021454F"/>
    <w:rsid w:val="003158F7"/>
    <w:rsid w:val="00346A5B"/>
    <w:rsid w:val="003548E1"/>
    <w:rsid w:val="003D50A5"/>
    <w:rsid w:val="00416D5D"/>
    <w:rsid w:val="005173F6"/>
    <w:rsid w:val="006C6F78"/>
    <w:rsid w:val="006E48BE"/>
    <w:rsid w:val="00716C19"/>
    <w:rsid w:val="007E37C6"/>
    <w:rsid w:val="008B1A24"/>
    <w:rsid w:val="008E1FB6"/>
    <w:rsid w:val="0094344B"/>
    <w:rsid w:val="00981CF1"/>
    <w:rsid w:val="00B57EA6"/>
    <w:rsid w:val="00BB5995"/>
    <w:rsid w:val="00C41C0B"/>
    <w:rsid w:val="00DB59A9"/>
    <w:rsid w:val="00F6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DC0D"/>
  <w15:chartTrackingRefBased/>
  <w15:docId w15:val="{C7522D6F-2518-6C44-846B-561D9743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1A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7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7C6"/>
  </w:style>
  <w:style w:type="paragraph" w:styleId="Footer">
    <w:name w:val="footer"/>
    <w:basedOn w:val="Normal"/>
    <w:link w:val="FooterChar"/>
    <w:uiPriority w:val="99"/>
    <w:unhideWhenUsed/>
    <w:rsid w:val="007E37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Pound</dc:creator>
  <cp:keywords/>
  <dc:description/>
  <cp:lastModifiedBy>Caroline Pound</cp:lastModifiedBy>
  <cp:revision>11</cp:revision>
  <dcterms:created xsi:type="dcterms:W3CDTF">2026-05-10T12:20:00Z</dcterms:created>
  <dcterms:modified xsi:type="dcterms:W3CDTF">2026-05-11T14:16:00Z</dcterms:modified>
</cp:coreProperties>
</file>